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EAAF" w14:textId="77777777" w:rsidR="00C11638" w:rsidRPr="00C11638" w:rsidRDefault="00C11638" w:rsidP="00C11638">
      <w:pPr>
        <w:ind w:left="-851" w:firstLine="567"/>
        <w:jc w:val="center"/>
        <w:rPr>
          <w:rFonts w:ascii="Arial" w:hAnsi="Arial" w:cs="Arial"/>
          <w:b/>
        </w:rPr>
      </w:pPr>
      <w:r w:rsidRPr="00C11638">
        <w:rPr>
          <w:rFonts w:eastAsiaTheme="minorHAnsi"/>
          <w:b/>
          <w:lang w:eastAsia="en-US"/>
        </w:rPr>
        <w:t>Atalgojuma noteikšanas vispārējie principi, veidi un kritēriji</w:t>
      </w:r>
      <w:r>
        <w:rPr>
          <w:rFonts w:eastAsiaTheme="minorHAnsi"/>
          <w:b/>
          <w:lang w:eastAsia="en-US"/>
        </w:rPr>
        <w:t>.</w:t>
      </w:r>
    </w:p>
    <w:p w14:paraId="71C62FC9" w14:textId="77777777" w:rsidR="00C11638" w:rsidRDefault="00C11638" w:rsidP="00C11638">
      <w:pPr>
        <w:ind w:left="-851" w:firstLine="567"/>
        <w:jc w:val="both"/>
        <w:rPr>
          <w:rFonts w:ascii="Arial" w:hAnsi="Arial" w:cs="Arial"/>
          <w:sz w:val="20"/>
          <w:szCs w:val="20"/>
        </w:rPr>
      </w:pPr>
    </w:p>
    <w:p w14:paraId="5B2427BB" w14:textId="77777777" w:rsidR="00C11638" w:rsidRPr="00C11638" w:rsidRDefault="00C11638" w:rsidP="00C11638">
      <w:pPr>
        <w:ind w:left="-851" w:firstLine="567"/>
        <w:jc w:val="both"/>
        <w:rPr>
          <w:rFonts w:ascii="Arial" w:hAnsi="Arial" w:cs="Arial"/>
          <w:sz w:val="20"/>
          <w:szCs w:val="20"/>
        </w:rPr>
      </w:pPr>
      <w:r w:rsidRPr="00C11638">
        <w:rPr>
          <w:rFonts w:ascii="Arial" w:hAnsi="Arial" w:cs="Arial"/>
          <w:sz w:val="20"/>
          <w:szCs w:val="20"/>
        </w:rPr>
        <w:t>SIA “Dobeles un apkārtnes slimnīcā” nav izstrādāts atlīdzības nolikums. To aizvieto 2012.gadā apstiprināts Valdes lēmums “Par darba organizāciju un darba samaksu”. Lēmumā noteikts kādus ārējos normatīvos aktus ievēro un kādus iekšējos dokumentus izstrādā, apstiprina un lieto aprēķinot darba samaksu.</w:t>
      </w:r>
    </w:p>
    <w:p w14:paraId="15151890" w14:textId="77777777" w:rsidR="00C11638" w:rsidRPr="00C11638" w:rsidRDefault="00C11638" w:rsidP="00C11638">
      <w:pPr>
        <w:spacing w:after="200" w:line="240" w:lineRule="atLeast"/>
        <w:ind w:left="-851"/>
        <w:jc w:val="both"/>
        <w:rPr>
          <w:rFonts w:ascii="Arial" w:hAnsi="Arial" w:cs="Arial"/>
          <w:sz w:val="20"/>
          <w:szCs w:val="20"/>
        </w:rPr>
      </w:pPr>
      <w:r w:rsidRPr="00C11638">
        <w:rPr>
          <w:rFonts w:ascii="Arial" w:hAnsi="Arial" w:cs="Arial"/>
          <w:sz w:val="20"/>
          <w:szCs w:val="20"/>
        </w:rPr>
        <w:t xml:space="preserve">Lai noteiktu ārstniecības personu mēnešalgu: </w:t>
      </w:r>
    </w:p>
    <w:p w14:paraId="655C07CE" w14:textId="77777777" w:rsidR="00C11638" w:rsidRPr="00C11638" w:rsidRDefault="00C11638" w:rsidP="00C11638">
      <w:pPr>
        <w:spacing w:after="200" w:line="240" w:lineRule="atLeast"/>
        <w:ind w:left="-851" w:firstLine="567"/>
        <w:jc w:val="both"/>
        <w:rPr>
          <w:rFonts w:ascii="Arial" w:hAnsi="Arial" w:cs="Arial"/>
          <w:sz w:val="20"/>
          <w:szCs w:val="20"/>
        </w:rPr>
      </w:pPr>
      <w:r w:rsidRPr="00C11638">
        <w:rPr>
          <w:rFonts w:ascii="Arial" w:eastAsia="Calibri" w:hAnsi="Arial" w:cs="Arial"/>
          <w:sz w:val="20"/>
          <w:szCs w:val="20"/>
          <w:lang w:eastAsia="en-US"/>
        </w:rPr>
        <w:t xml:space="preserve">Lietojot ar MK 2010.gada 30.novembra noteikumiem apstiprinātu „Valsts un pašvaldību institūciju amatu katalogu” tika </w:t>
      </w:r>
      <w:r w:rsidRPr="00C11638">
        <w:rPr>
          <w:rFonts w:ascii="Arial" w:hAnsi="Arial" w:cs="Arial"/>
          <w:sz w:val="20"/>
          <w:szCs w:val="20"/>
        </w:rPr>
        <w:t xml:space="preserve">novērtēti attiecīgie amati un noteiktas amata kvalifikācijas kategorijas: ārstiem 6-5, ārstniecības un pacientu aprūpes personām 8-7, ārstniecības un pacientu aprūpes atbalsta personām 13-11. </w:t>
      </w:r>
    </w:p>
    <w:p w14:paraId="16A44C38" w14:textId="3BB0324C" w:rsidR="00C11638" w:rsidRPr="00C11638" w:rsidRDefault="00C11638" w:rsidP="00C11638">
      <w:pPr>
        <w:spacing w:after="200" w:line="240" w:lineRule="atLeast"/>
        <w:ind w:left="-851" w:firstLine="567"/>
        <w:jc w:val="both"/>
        <w:rPr>
          <w:rFonts w:ascii="Arial" w:hAnsi="Arial" w:cs="Arial"/>
          <w:sz w:val="20"/>
          <w:szCs w:val="20"/>
        </w:rPr>
      </w:pPr>
      <w:r w:rsidRPr="00C11638">
        <w:rPr>
          <w:rFonts w:ascii="Arial" w:eastAsia="Calibri" w:hAnsi="Arial" w:cs="Arial"/>
          <w:sz w:val="20"/>
          <w:szCs w:val="20"/>
          <w:lang w:eastAsia="en-US"/>
        </w:rPr>
        <w:t xml:space="preserve">Lietojot MK Noteikumus “...par zemāko mēnešalgu un speciālo piemaksu veselības aprūpes jomā nodarbinātajiem”, ievērojot Veselības aprūpes pakalpojumu organizēšanas un samaksas kārtību regulējošajos normatīvajos aktos pakalpojuma cenā iekļauto darba samaksas apmēru ārstniecības personām, „Valsts un pašvaldību institūciju amatpersonu un darbinieku atlīdzības likumu”, noslēgto līgumu ar VM NVD un ievērojot finansiālo stāvokli, ir izstrādāts tarifikācijas saraksts, kurā ārstniecības personām apstiprināts mēnešalgas apmērs. </w:t>
      </w:r>
    </w:p>
    <w:p w14:paraId="380CC6C7" w14:textId="77777777" w:rsidR="00C11638" w:rsidRPr="00C11638" w:rsidRDefault="00C11638" w:rsidP="00C11638">
      <w:pPr>
        <w:spacing w:after="200" w:line="240" w:lineRule="atLeast"/>
        <w:ind w:left="-851" w:firstLine="567"/>
        <w:jc w:val="both"/>
        <w:rPr>
          <w:rFonts w:ascii="Arial" w:hAnsi="Arial" w:cs="Arial"/>
          <w:sz w:val="20"/>
          <w:szCs w:val="20"/>
        </w:rPr>
      </w:pPr>
      <w:r w:rsidRPr="00C11638">
        <w:rPr>
          <w:rFonts w:ascii="Arial" w:hAnsi="Arial" w:cs="Arial"/>
          <w:sz w:val="20"/>
          <w:szCs w:val="20"/>
        </w:rPr>
        <w:t>Ārstniecības personām, kurām darbs ir saistīts ar īpašu risku ir noteikta piemaksa pie mēneša, vai summētā darba laika uzskaites gadījumā pie gada vidējā darba stundu skaita mēnesī (bērnu slimību nodaļā 10 euro apmērā, radioloģijas nodaļā 15 euro apmērā, anestezijas nodaļā 5% apmērā)</w:t>
      </w:r>
    </w:p>
    <w:p w14:paraId="5D32903D" w14:textId="77777777" w:rsidR="00C11638" w:rsidRPr="00C11638" w:rsidRDefault="00C11638" w:rsidP="00C11638">
      <w:pPr>
        <w:spacing w:after="200" w:line="240" w:lineRule="atLeast"/>
        <w:ind w:left="-851" w:firstLine="567"/>
        <w:jc w:val="both"/>
        <w:rPr>
          <w:rFonts w:ascii="Arial" w:hAnsi="Arial" w:cs="Arial"/>
          <w:sz w:val="20"/>
          <w:szCs w:val="20"/>
        </w:rPr>
      </w:pPr>
      <w:r w:rsidRPr="00C11638">
        <w:rPr>
          <w:rFonts w:ascii="Arial" w:hAnsi="Arial" w:cs="Arial"/>
          <w:sz w:val="20"/>
          <w:szCs w:val="20"/>
        </w:rPr>
        <w:t>Ārstniecības personām atbilstoši darba stāžam ārstniecības jomā noteiktas piemaksas līdz 2% stāžam līdz 9 gadiem, 5% stāžam 10-15 gadi, 6% stāžam 16-20 gadi, 15% stāžam virs 20 gadiem.</w:t>
      </w:r>
    </w:p>
    <w:p w14:paraId="77D46D17" w14:textId="77777777" w:rsidR="00C11638" w:rsidRPr="00C11638" w:rsidRDefault="00C11638" w:rsidP="00C11638">
      <w:pPr>
        <w:spacing w:after="200" w:line="240" w:lineRule="atLeast"/>
        <w:ind w:left="-851" w:firstLine="567"/>
        <w:jc w:val="both"/>
        <w:rPr>
          <w:rFonts w:ascii="Arial" w:hAnsi="Arial" w:cs="Arial"/>
          <w:sz w:val="20"/>
          <w:szCs w:val="20"/>
        </w:rPr>
      </w:pPr>
      <w:r w:rsidRPr="00C11638">
        <w:rPr>
          <w:rFonts w:ascii="Arial" w:hAnsi="Arial" w:cs="Arial"/>
          <w:sz w:val="20"/>
          <w:szCs w:val="20"/>
        </w:rPr>
        <w:t>Ja struktūrvienībā nav no citu pienākumu pildīšanas atbrīvotas ārstniecības personas, tām Ir noteiktas piemaksas par vadības pienākumu  pildīšanu no 15 līdz 300 euro atkarībā no darba apjoma un struktūrvienības lieluma.</w:t>
      </w:r>
    </w:p>
    <w:p w14:paraId="2B6A1201" w14:textId="77777777" w:rsidR="00C11638" w:rsidRPr="00C11638" w:rsidRDefault="00C11638" w:rsidP="00C11638">
      <w:pPr>
        <w:spacing w:after="200" w:line="240" w:lineRule="atLeast"/>
        <w:ind w:left="-851" w:firstLine="567"/>
        <w:jc w:val="both"/>
        <w:rPr>
          <w:rFonts w:ascii="Arial" w:hAnsi="Arial" w:cs="Arial"/>
          <w:sz w:val="20"/>
          <w:szCs w:val="20"/>
        </w:rPr>
      </w:pPr>
      <w:r w:rsidRPr="00C11638">
        <w:rPr>
          <w:rFonts w:ascii="Arial" w:hAnsi="Arial" w:cs="Arial"/>
          <w:sz w:val="20"/>
          <w:szCs w:val="20"/>
        </w:rPr>
        <w:t>Vidējā līmeņa ārstniecības personām ar augstāko izglītību mēnešalga ir palielināta par 20 euro.</w:t>
      </w:r>
    </w:p>
    <w:p w14:paraId="1F417394" w14:textId="77777777" w:rsidR="00C11638" w:rsidRPr="00C11638" w:rsidRDefault="00C11638" w:rsidP="00C11638">
      <w:pPr>
        <w:spacing w:line="240" w:lineRule="atLeast"/>
        <w:jc w:val="both"/>
        <w:rPr>
          <w:rFonts w:ascii="Arial" w:hAnsi="Arial" w:cs="Arial"/>
          <w:kern w:val="20"/>
          <w:sz w:val="20"/>
          <w:szCs w:val="20"/>
        </w:rPr>
      </w:pPr>
      <w:r w:rsidRPr="00C11638">
        <w:rPr>
          <w:rFonts w:ascii="Arial" w:hAnsi="Arial" w:cs="Arial"/>
          <w:kern w:val="20"/>
          <w:sz w:val="20"/>
          <w:szCs w:val="20"/>
        </w:rPr>
        <w:t xml:space="preserve">Darba samaksu ārstniecības personām aprēķina </w:t>
      </w:r>
    </w:p>
    <w:p w14:paraId="2CFBA59F" w14:textId="77777777" w:rsidR="00C11638" w:rsidRPr="00C11638" w:rsidRDefault="00C11638" w:rsidP="00C11638">
      <w:pPr>
        <w:pStyle w:val="ListParagraph"/>
        <w:numPr>
          <w:ilvl w:val="0"/>
          <w:numId w:val="3"/>
        </w:numPr>
        <w:spacing w:line="240" w:lineRule="atLeast"/>
        <w:jc w:val="both"/>
        <w:rPr>
          <w:rFonts w:ascii="Arial" w:hAnsi="Arial" w:cs="Arial"/>
          <w:kern w:val="20"/>
          <w:sz w:val="20"/>
          <w:szCs w:val="20"/>
        </w:rPr>
      </w:pPr>
      <w:r w:rsidRPr="00C11638">
        <w:rPr>
          <w:rFonts w:ascii="Arial" w:hAnsi="Arial" w:cs="Arial"/>
          <w:kern w:val="20"/>
          <w:sz w:val="20"/>
          <w:szCs w:val="20"/>
        </w:rPr>
        <w:t>par faktiski nostrādātām stundām atbilstoši darba laika uzskaites tabelē norādītajam</w:t>
      </w:r>
    </w:p>
    <w:p w14:paraId="4D0D88B9" w14:textId="77777777" w:rsidR="00C11638" w:rsidRPr="00C11638" w:rsidRDefault="00C11638" w:rsidP="00C11638">
      <w:pPr>
        <w:pStyle w:val="ListParagraph"/>
        <w:numPr>
          <w:ilvl w:val="0"/>
          <w:numId w:val="2"/>
        </w:numPr>
        <w:spacing w:line="240" w:lineRule="atLeast"/>
        <w:jc w:val="both"/>
        <w:rPr>
          <w:rFonts w:ascii="Arial" w:hAnsi="Arial" w:cs="Arial"/>
          <w:i/>
          <w:kern w:val="20"/>
          <w:sz w:val="20"/>
          <w:szCs w:val="20"/>
        </w:rPr>
      </w:pPr>
      <w:r w:rsidRPr="00C11638">
        <w:rPr>
          <w:rFonts w:ascii="Arial" w:hAnsi="Arial" w:cs="Arial"/>
          <w:i/>
          <w:kern w:val="20"/>
          <w:sz w:val="20"/>
          <w:szCs w:val="20"/>
        </w:rPr>
        <w:t>kā fiksētu amatalgas summu ar noteiktajām piemaksām, ja darbs ir tikai normālā darba laika ietvaros.</w:t>
      </w:r>
    </w:p>
    <w:p w14:paraId="1B42F162" w14:textId="77777777" w:rsidR="00C11638" w:rsidRPr="00C11638" w:rsidRDefault="00C11638" w:rsidP="00C11638">
      <w:pPr>
        <w:pStyle w:val="ListParagraph"/>
        <w:numPr>
          <w:ilvl w:val="0"/>
          <w:numId w:val="2"/>
        </w:numPr>
        <w:spacing w:line="240" w:lineRule="atLeast"/>
        <w:jc w:val="both"/>
        <w:rPr>
          <w:rFonts w:ascii="Arial" w:hAnsi="Arial" w:cs="Arial"/>
          <w:i/>
          <w:kern w:val="20"/>
          <w:sz w:val="20"/>
          <w:szCs w:val="20"/>
        </w:rPr>
      </w:pPr>
      <w:r w:rsidRPr="00C11638">
        <w:rPr>
          <w:rFonts w:ascii="Arial" w:hAnsi="Arial" w:cs="Arial"/>
          <w:i/>
          <w:kern w:val="20"/>
          <w:sz w:val="20"/>
          <w:szCs w:val="20"/>
        </w:rPr>
        <w:t>lietojot stundas likmes apmaksu, ja noteikts summētais darba laiks</w:t>
      </w:r>
    </w:p>
    <w:p w14:paraId="7232FDB6" w14:textId="77777777" w:rsidR="00C11638" w:rsidRPr="00C11638" w:rsidRDefault="00C11638" w:rsidP="00C11638">
      <w:pPr>
        <w:pStyle w:val="ListParagraph"/>
        <w:numPr>
          <w:ilvl w:val="0"/>
          <w:numId w:val="3"/>
        </w:numPr>
        <w:spacing w:line="240" w:lineRule="atLeast"/>
        <w:jc w:val="both"/>
        <w:rPr>
          <w:rFonts w:ascii="Arial" w:eastAsiaTheme="minorHAnsi" w:hAnsi="Arial" w:cs="Arial"/>
          <w:sz w:val="20"/>
          <w:szCs w:val="20"/>
          <w:lang w:eastAsia="en-US"/>
        </w:rPr>
      </w:pPr>
      <w:r w:rsidRPr="00C11638">
        <w:rPr>
          <w:rFonts w:ascii="Arial" w:hAnsi="Arial" w:cs="Arial"/>
          <w:kern w:val="20"/>
          <w:sz w:val="20"/>
          <w:szCs w:val="20"/>
        </w:rPr>
        <w:t xml:space="preserve">kā akordalgu </w:t>
      </w:r>
      <w:r w:rsidRPr="00C11638">
        <w:rPr>
          <w:rFonts w:ascii="Arial" w:eastAsiaTheme="minorHAnsi" w:hAnsi="Arial" w:cs="Arial"/>
          <w:sz w:val="20"/>
          <w:szCs w:val="20"/>
          <w:lang w:eastAsia="en-US"/>
        </w:rPr>
        <w:t>atbilstoši padarītā darba daudzumam neatkarīgi no laika, kādā tas paveikts.</w:t>
      </w:r>
    </w:p>
    <w:p w14:paraId="293C2967" w14:textId="77777777" w:rsidR="00C11638" w:rsidRPr="00C11638" w:rsidRDefault="00C11638" w:rsidP="00C11638">
      <w:pPr>
        <w:pStyle w:val="ListParagraph"/>
        <w:numPr>
          <w:ilvl w:val="0"/>
          <w:numId w:val="3"/>
        </w:numPr>
        <w:spacing w:line="240" w:lineRule="atLeast"/>
        <w:jc w:val="both"/>
        <w:rPr>
          <w:rFonts w:ascii="Arial" w:eastAsiaTheme="minorHAnsi" w:hAnsi="Arial" w:cs="Arial"/>
          <w:sz w:val="20"/>
          <w:szCs w:val="20"/>
          <w:lang w:eastAsia="en-US"/>
        </w:rPr>
      </w:pPr>
      <w:r w:rsidRPr="00C11638">
        <w:rPr>
          <w:rFonts w:ascii="Arial" w:eastAsiaTheme="minorHAnsi" w:hAnsi="Arial" w:cs="Arial"/>
          <w:sz w:val="20"/>
          <w:szCs w:val="20"/>
          <w:lang w:eastAsia="en-US"/>
        </w:rPr>
        <w:t>nolīgtu summu par mēnesi neveicot darba laika uzskaiti (Darba likuma 148.panta 1.daļa)</w:t>
      </w:r>
    </w:p>
    <w:p w14:paraId="040D18AE" w14:textId="77777777" w:rsidR="00C11638" w:rsidRPr="00C11638" w:rsidRDefault="00C11638" w:rsidP="00C11638">
      <w:pPr>
        <w:pStyle w:val="ListParagraph"/>
        <w:spacing w:line="240" w:lineRule="atLeast"/>
        <w:ind w:left="-851" w:firstLine="567"/>
        <w:jc w:val="both"/>
        <w:rPr>
          <w:rFonts w:ascii="Arial" w:hAnsi="Arial" w:cs="Arial"/>
          <w:kern w:val="20"/>
          <w:sz w:val="20"/>
          <w:szCs w:val="20"/>
        </w:rPr>
      </w:pPr>
      <w:r w:rsidRPr="00C11638">
        <w:rPr>
          <w:rFonts w:ascii="Arial" w:hAnsi="Arial" w:cs="Arial"/>
          <w:kern w:val="20"/>
          <w:sz w:val="20"/>
          <w:szCs w:val="20"/>
        </w:rPr>
        <w:t>Ārstniecības personām ir noteikta piemaksa par darbu nakts stundās 50% apmērā no stundas tarifa likmes un 100% apmērā par darbu svētkos.</w:t>
      </w:r>
    </w:p>
    <w:p w14:paraId="057890E6" w14:textId="79F3A467" w:rsidR="00C11638" w:rsidRDefault="00C11638" w:rsidP="00C11638">
      <w:pPr>
        <w:pStyle w:val="ListParagraph"/>
        <w:spacing w:line="240" w:lineRule="atLeast"/>
        <w:ind w:left="-851" w:firstLine="567"/>
        <w:jc w:val="both"/>
        <w:rPr>
          <w:rFonts w:ascii="Arial" w:hAnsi="Arial" w:cs="Arial"/>
          <w:kern w:val="20"/>
          <w:sz w:val="20"/>
          <w:szCs w:val="20"/>
        </w:rPr>
      </w:pPr>
      <w:r w:rsidRPr="00C11638">
        <w:rPr>
          <w:rFonts w:ascii="Arial" w:hAnsi="Arial" w:cs="Arial"/>
          <w:kern w:val="20"/>
          <w:sz w:val="20"/>
          <w:szCs w:val="20"/>
        </w:rPr>
        <w:t>Lai nodrošinātu ārstniecības pieejamību, ar ārstniecībam personu piekrišanu, ir noteikts darba laiks, kurš pārsniedz normālo– virsstundas.</w:t>
      </w:r>
      <w:r w:rsidR="0034442F">
        <w:rPr>
          <w:rFonts w:ascii="Arial" w:hAnsi="Arial" w:cs="Arial"/>
          <w:kern w:val="20"/>
          <w:sz w:val="20"/>
          <w:szCs w:val="20"/>
        </w:rPr>
        <w:t xml:space="preserve"> V</w:t>
      </w:r>
      <w:r w:rsidRPr="00C11638">
        <w:rPr>
          <w:rFonts w:ascii="Arial" w:hAnsi="Arial" w:cs="Arial"/>
          <w:kern w:val="20"/>
          <w:sz w:val="20"/>
          <w:szCs w:val="20"/>
        </w:rPr>
        <w:t>irsstundas uzskaita un vienu reizi četros mēnešos</w:t>
      </w:r>
      <w:r w:rsidR="0034442F" w:rsidRPr="0034442F">
        <w:rPr>
          <w:rFonts w:ascii="Arial" w:hAnsi="Arial" w:cs="Arial"/>
          <w:kern w:val="20"/>
          <w:sz w:val="20"/>
          <w:szCs w:val="20"/>
        </w:rPr>
        <w:t xml:space="preserve"> </w:t>
      </w:r>
      <w:r w:rsidR="0034442F" w:rsidRPr="00C11638">
        <w:rPr>
          <w:rFonts w:ascii="Arial" w:hAnsi="Arial" w:cs="Arial"/>
          <w:kern w:val="20"/>
          <w:sz w:val="20"/>
          <w:szCs w:val="20"/>
        </w:rPr>
        <w:t>apmaksā 100% apmērā</w:t>
      </w:r>
      <w:r w:rsidR="0034442F">
        <w:rPr>
          <w:rFonts w:ascii="Arial" w:hAnsi="Arial" w:cs="Arial"/>
          <w:kern w:val="20"/>
          <w:sz w:val="20"/>
          <w:szCs w:val="20"/>
        </w:rPr>
        <w:t>.</w:t>
      </w:r>
    </w:p>
    <w:p w14:paraId="7D5B782E" w14:textId="77777777" w:rsidR="00A67B27" w:rsidRDefault="00C11638" w:rsidP="00C11638">
      <w:pPr>
        <w:pStyle w:val="ListParagraph"/>
        <w:spacing w:line="240" w:lineRule="atLeast"/>
        <w:ind w:left="-851" w:firstLine="567"/>
        <w:jc w:val="both"/>
        <w:rPr>
          <w:rFonts w:ascii="Arial" w:hAnsi="Arial" w:cs="Arial"/>
          <w:color w:val="000000"/>
          <w:kern w:val="20"/>
          <w:sz w:val="20"/>
          <w:szCs w:val="20"/>
        </w:rPr>
      </w:pPr>
      <w:r w:rsidRPr="00C11638">
        <w:rPr>
          <w:rFonts w:ascii="Arial" w:hAnsi="Arial" w:cs="Arial"/>
          <w:color w:val="000000"/>
          <w:kern w:val="20"/>
          <w:sz w:val="20"/>
          <w:szCs w:val="20"/>
        </w:rPr>
        <w:t xml:space="preserve">Ārstniecības personām, kuras sniedz veselības aprūpes pakalpojumus ambulatorajiem pacientiem, tiek </w:t>
      </w:r>
      <w:r w:rsidRPr="00C11638">
        <w:rPr>
          <w:rFonts w:ascii="Arial" w:eastAsiaTheme="minorHAnsi" w:hAnsi="Arial" w:cs="Arial"/>
          <w:sz w:val="20"/>
          <w:szCs w:val="20"/>
          <w:lang w:eastAsia="en-US"/>
        </w:rPr>
        <w:t xml:space="preserve">aprēķināta akorda alga. Apmaksas procents no speciālistu izstrādes noteikts no 25 līdz 50. Kā pamatojums procentu noteikšanai izmantota informācija par </w:t>
      </w:r>
      <w:r w:rsidRPr="00C11638">
        <w:rPr>
          <w:rFonts w:ascii="Arial" w:hAnsi="Arial" w:cs="Arial"/>
          <w:sz w:val="20"/>
          <w:szCs w:val="20"/>
        </w:rPr>
        <w:t>aprēķina elementiem, ko NVD lieto epizodes vai manipulācijas cenas aprēķinam un no tā var secināt, cik procentus no pakalpojuma cenas var novirzīt darba samaksai</w:t>
      </w:r>
      <w:r w:rsidRPr="00C11638">
        <w:rPr>
          <w:rFonts w:ascii="Arial" w:eastAsiaTheme="minorHAnsi" w:hAnsi="Arial" w:cs="Arial"/>
          <w:sz w:val="20"/>
          <w:szCs w:val="20"/>
          <w:lang w:eastAsia="en-US"/>
        </w:rPr>
        <w:t xml:space="preserve"> Finansēšanas avoti ir </w:t>
      </w:r>
      <w:r w:rsidRPr="00C11638">
        <w:rPr>
          <w:rFonts w:ascii="Arial" w:hAnsi="Arial" w:cs="Arial"/>
          <w:color w:val="000000"/>
          <w:kern w:val="20"/>
          <w:sz w:val="20"/>
          <w:szCs w:val="20"/>
        </w:rPr>
        <w:t>valsts budžeta līdzekļi (pēc līgumiem ar NVD) un pacientu privātie līdzekļi (iekasēts kā pacientu līdzmaksājums vai par maksas veselības aprūpes pakalpojumiem).</w:t>
      </w:r>
    </w:p>
    <w:p w14:paraId="391E787E" w14:textId="77777777" w:rsidR="00A67B27" w:rsidRDefault="00A67B27">
      <w:pPr>
        <w:spacing w:after="200" w:line="276" w:lineRule="auto"/>
        <w:rPr>
          <w:rFonts w:ascii="Arial" w:hAnsi="Arial" w:cs="Arial"/>
          <w:color w:val="000000"/>
          <w:kern w:val="20"/>
          <w:sz w:val="20"/>
          <w:szCs w:val="20"/>
        </w:rPr>
      </w:pPr>
      <w:r>
        <w:rPr>
          <w:rFonts w:ascii="Arial" w:hAnsi="Arial" w:cs="Arial"/>
          <w:color w:val="000000"/>
          <w:kern w:val="20"/>
          <w:sz w:val="20"/>
          <w:szCs w:val="20"/>
        </w:rPr>
        <w:br w:type="page"/>
      </w:r>
    </w:p>
    <w:p w14:paraId="6101564F" w14:textId="77777777" w:rsidR="00A67B27" w:rsidRPr="00C11638" w:rsidRDefault="00A67B27" w:rsidP="00A67B27">
      <w:pPr>
        <w:ind w:left="-851" w:firstLine="567"/>
        <w:jc w:val="center"/>
        <w:rPr>
          <w:rFonts w:ascii="Arial" w:hAnsi="Arial" w:cs="Arial"/>
          <w:b/>
        </w:rPr>
      </w:pPr>
      <w:r>
        <w:rPr>
          <w:rFonts w:eastAsiaTheme="minorHAnsi"/>
          <w:b/>
          <w:lang w:eastAsia="en-US"/>
        </w:rPr>
        <w:lastRenderedPageBreak/>
        <w:t>Darba laiks un darba līgums.</w:t>
      </w:r>
    </w:p>
    <w:p w14:paraId="0B58FB0E" w14:textId="77777777" w:rsidR="00A67B27" w:rsidRPr="00A67B27" w:rsidRDefault="00A67B27" w:rsidP="00A67B27">
      <w:pPr>
        <w:spacing w:before="120" w:after="120"/>
        <w:ind w:firstLine="426"/>
        <w:jc w:val="both"/>
        <w:rPr>
          <w:rFonts w:ascii="Arial" w:hAnsi="Arial" w:cs="Arial"/>
          <w:sz w:val="20"/>
          <w:szCs w:val="20"/>
        </w:rPr>
      </w:pPr>
      <w:r w:rsidRPr="00A67B27">
        <w:rPr>
          <w:rFonts w:ascii="Arial" w:hAnsi="Arial" w:cs="Arial"/>
          <w:sz w:val="20"/>
          <w:szCs w:val="20"/>
        </w:rPr>
        <w:t xml:space="preserve">Plānojot darba laiku katrā struktūrvienībā atbildīgie darbinieki līdz esošā mēneša 25.datumam sastāda darba grafiku nākamajam mēnesim, un pret pakakstu iepazīstina ar to katru darbinieku. </w:t>
      </w:r>
    </w:p>
    <w:p w14:paraId="6FA40034" w14:textId="77777777" w:rsidR="00A67B27" w:rsidRPr="00A67B27" w:rsidRDefault="00A67B27" w:rsidP="00A67B27">
      <w:pPr>
        <w:spacing w:before="120" w:after="120"/>
        <w:ind w:firstLine="426"/>
        <w:jc w:val="both"/>
        <w:rPr>
          <w:rFonts w:ascii="Arial" w:hAnsi="Arial" w:cs="Arial"/>
          <w:sz w:val="20"/>
          <w:szCs w:val="20"/>
        </w:rPr>
      </w:pPr>
      <w:r w:rsidRPr="00A67B27">
        <w:rPr>
          <w:rFonts w:ascii="Arial" w:hAnsi="Arial" w:cs="Arial"/>
          <w:sz w:val="20"/>
          <w:szCs w:val="20"/>
        </w:rPr>
        <w:t>Šie grafiki tiek iesniegti grāmatvedībā un netiek grozīti. Ņemot vērā mēneša izmaiņas, darba samaksas aprēķināšanai sastāda precizētu darba grafiku un par faktiski nostrādāto veido darba laika uzskaites tabeli.</w:t>
      </w:r>
    </w:p>
    <w:p w14:paraId="01A8CCF8" w14:textId="77777777" w:rsidR="00A67B27" w:rsidRPr="00A67B27" w:rsidRDefault="00A67B27" w:rsidP="00A67B27">
      <w:pPr>
        <w:spacing w:before="120" w:after="120"/>
        <w:ind w:firstLine="426"/>
        <w:jc w:val="both"/>
        <w:rPr>
          <w:rFonts w:ascii="Arial" w:hAnsi="Arial" w:cs="Arial"/>
          <w:sz w:val="20"/>
          <w:szCs w:val="20"/>
        </w:rPr>
      </w:pPr>
      <w:r w:rsidRPr="00A67B27">
        <w:rPr>
          <w:rFonts w:ascii="Arial" w:hAnsi="Arial" w:cs="Arial"/>
          <w:sz w:val="20"/>
          <w:szCs w:val="20"/>
        </w:rPr>
        <w:t>Struktūrvienībās, kur darbs norit visu diennakti, dežūrpersonālam ir noteikt summētais darba laiks ar dežūras ilgumu no 8 līdz 24 stundām. Šo struktūrvienību personālam, kurš nodrošina tikai dienas darbu ir noteikt normālais darba laiks.</w:t>
      </w:r>
    </w:p>
    <w:p w14:paraId="43CC0628" w14:textId="77777777" w:rsidR="00A67B27" w:rsidRPr="00A67B27" w:rsidRDefault="00A67B27" w:rsidP="00A67B27">
      <w:pPr>
        <w:spacing w:before="120" w:after="120"/>
        <w:ind w:firstLine="426"/>
        <w:jc w:val="both"/>
        <w:rPr>
          <w:rFonts w:ascii="Arial" w:hAnsi="Arial" w:cs="Arial"/>
          <w:sz w:val="20"/>
          <w:szCs w:val="20"/>
        </w:rPr>
      </w:pPr>
      <w:r w:rsidRPr="00A67B27">
        <w:rPr>
          <w:rFonts w:ascii="Arial" w:hAnsi="Arial" w:cs="Arial"/>
          <w:sz w:val="20"/>
          <w:szCs w:val="20"/>
        </w:rPr>
        <w:t>Ambulatorās nodaļas speciālistu darba grafikā tiek norādīts ārsta pieņemšanas laiks.</w:t>
      </w:r>
    </w:p>
    <w:p w14:paraId="051511FD" w14:textId="77777777" w:rsidR="00A67B27" w:rsidRPr="00A67B27" w:rsidRDefault="00A67B27" w:rsidP="00A67B27">
      <w:pPr>
        <w:spacing w:before="120" w:after="120"/>
        <w:ind w:firstLine="284"/>
        <w:jc w:val="both"/>
        <w:rPr>
          <w:rFonts w:ascii="Arial" w:hAnsi="Arial" w:cs="Arial"/>
          <w:sz w:val="20"/>
          <w:szCs w:val="20"/>
        </w:rPr>
      </w:pPr>
      <w:r w:rsidRPr="00A67B27">
        <w:rPr>
          <w:rFonts w:ascii="Arial" w:hAnsi="Arial" w:cs="Arial"/>
          <w:sz w:val="20"/>
          <w:szCs w:val="20"/>
        </w:rPr>
        <w:t xml:space="preserve"> Ja ārstniecības persona ir nodarbināta gan stacionārā, gan pieņem ambulatori, tās darba laiks ir atspoguļots attiecīgās struktūrvienības darba grafikā atsevišķi un nav pieļauts darba laiku “pārklāšanās”.</w:t>
      </w:r>
    </w:p>
    <w:p w14:paraId="145FD39B" w14:textId="77777777" w:rsidR="00A67B27" w:rsidRPr="00A67B27" w:rsidRDefault="00A67B27" w:rsidP="00A67B27">
      <w:pPr>
        <w:spacing w:before="120" w:after="120"/>
        <w:ind w:firstLine="284"/>
        <w:jc w:val="both"/>
        <w:rPr>
          <w:rFonts w:ascii="Arial" w:hAnsi="Arial" w:cs="Arial"/>
          <w:sz w:val="20"/>
          <w:szCs w:val="20"/>
        </w:rPr>
      </w:pPr>
      <w:r w:rsidRPr="00A67B27">
        <w:rPr>
          <w:rFonts w:ascii="Arial" w:hAnsi="Arial" w:cs="Arial"/>
          <w:sz w:val="20"/>
          <w:szCs w:val="20"/>
        </w:rPr>
        <w:t>Ja ārstniecības persona vienā darba laikā veic uz laiku prombūtnē esošas personas darba pienākumus, tai nosaka piemaksu procentu vai atrunātas summas apmērā.</w:t>
      </w:r>
    </w:p>
    <w:p w14:paraId="3B4599BB" w14:textId="77777777" w:rsidR="00A67B27" w:rsidRPr="00A67B27" w:rsidRDefault="00A67B27" w:rsidP="00A67B27">
      <w:pPr>
        <w:jc w:val="both"/>
        <w:rPr>
          <w:rFonts w:ascii="Arial" w:hAnsi="Arial" w:cs="Arial"/>
          <w:sz w:val="20"/>
          <w:szCs w:val="20"/>
        </w:rPr>
      </w:pPr>
      <w:r w:rsidRPr="00A67B27">
        <w:rPr>
          <w:rFonts w:ascii="Arial" w:hAnsi="Arial" w:cs="Arial"/>
          <w:sz w:val="20"/>
          <w:szCs w:val="20"/>
        </w:rPr>
        <w:t xml:space="preserve">Darba grafikā netiek fiksēts laiks par ambulatoro speciālistu konsultācijām un izmeklējumiem, kurus pēc ārstējošā ārsta pieprasījuma veic stacionāra pacientiem.. Par šo darbu maksā akordalgu. Atbilstoši Darba likuma prasībām ar katru darbinieku, uzsākot darba attiecības, rakstveidā tiek noslēgts darba līgums. Darba līgumā ir iekļauta šāda informācija: </w:t>
      </w:r>
    </w:p>
    <w:p w14:paraId="78276C27" w14:textId="77777777" w:rsidR="00A67B27" w:rsidRPr="00A67B27" w:rsidRDefault="00A67B27" w:rsidP="00A67B27">
      <w:pPr>
        <w:numPr>
          <w:ilvl w:val="0"/>
          <w:numId w:val="5"/>
        </w:numPr>
        <w:contextualSpacing/>
        <w:jc w:val="both"/>
        <w:rPr>
          <w:rFonts w:ascii="Arial" w:hAnsi="Arial" w:cs="Arial"/>
          <w:sz w:val="20"/>
          <w:szCs w:val="20"/>
        </w:rPr>
      </w:pPr>
      <w:r w:rsidRPr="00A67B27">
        <w:rPr>
          <w:rFonts w:ascii="Arial" w:hAnsi="Arial" w:cs="Arial"/>
          <w:sz w:val="20"/>
          <w:szCs w:val="20"/>
        </w:rPr>
        <w:t>Darba laiks (normālais, saīsinātais, nepilns)</w:t>
      </w:r>
    </w:p>
    <w:p w14:paraId="1B6D107A" w14:textId="77777777" w:rsidR="00A67B27" w:rsidRPr="00A67B27" w:rsidRDefault="00A67B27" w:rsidP="00A67B27">
      <w:pPr>
        <w:numPr>
          <w:ilvl w:val="0"/>
          <w:numId w:val="5"/>
        </w:numPr>
        <w:contextualSpacing/>
        <w:jc w:val="both"/>
        <w:rPr>
          <w:rFonts w:ascii="Arial" w:hAnsi="Arial" w:cs="Arial"/>
          <w:sz w:val="20"/>
          <w:szCs w:val="20"/>
        </w:rPr>
      </w:pPr>
      <w:r w:rsidRPr="00A67B27">
        <w:rPr>
          <w:rFonts w:ascii="Arial" w:hAnsi="Arial" w:cs="Arial"/>
          <w:sz w:val="20"/>
          <w:szCs w:val="20"/>
        </w:rPr>
        <w:t>Darba samaksas apmērs (mēnešalga pēc tarifikācijas saraksta, darba likumā noteiktās piemaksas)</w:t>
      </w:r>
    </w:p>
    <w:p w14:paraId="421DD8FC" w14:textId="77777777" w:rsidR="00A67B27" w:rsidRPr="00A67B27" w:rsidRDefault="00A67B27" w:rsidP="00A67B27">
      <w:pPr>
        <w:numPr>
          <w:ilvl w:val="0"/>
          <w:numId w:val="5"/>
        </w:numPr>
        <w:contextualSpacing/>
        <w:jc w:val="both"/>
        <w:rPr>
          <w:rFonts w:ascii="Arial" w:hAnsi="Arial" w:cs="Arial"/>
          <w:sz w:val="20"/>
          <w:szCs w:val="20"/>
        </w:rPr>
      </w:pPr>
      <w:r w:rsidRPr="00A67B27">
        <w:rPr>
          <w:rFonts w:ascii="Arial" w:hAnsi="Arial" w:cs="Arial"/>
          <w:sz w:val="20"/>
          <w:szCs w:val="20"/>
        </w:rPr>
        <w:t>Darba vieta (struktūrvienība)</w:t>
      </w:r>
    </w:p>
    <w:p w14:paraId="0E1A0C06" w14:textId="77777777" w:rsidR="00A67B27" w:rsidRPr="00A67B27" w:rsidRDefault="00A67B27" w:rsidP="00A67B27">
      <w:pPr>
        <w:numPr>
          <w:ilvl w:val="0"/>
          <w:numId w:val="5"/>
        </w:numPr>
        <w:contextualSpacing/>
        <w:jc w:val="both"/>
        <w:rPr>
          <w:rFonts w:ascii="Arial" w:hAnsi="Arial" w:cs="Arial"/>
          <w:sz w:val="20"/>
          <w:szCs w:val="20"/>
        </w:rPr>
      </w:pPr>
      <w:r w:rsidRPr="00A67B27">
        <w:rPr>
          <w:rFonts w:ascii="Arial" w:hAnsi="Arial" w:cs="Arial"/>
          <w:sz w:val="20"/>
          <w:szCs w:val="20"/>
        </w:rPr>
        <w:t>Darba samaksas veids un laiks (bezskaidrā naudā, ieskaitot bankas kontā)</w:t>
      </w:r>
    </w:p>
    <w:p w14:paraId="184BF8CE" w14:textId="77777777" w:rsidR="00A67B27" w:rsidRPr="00A67B27" w:rsidRDefault="00A67B27" w:rsidP="00A67B27">
      <w:pPr>
        <w:numPr>
          <w:ilvl w:val="0"/>
          <w:numId w:val="5"/>
        </w:numPr>
        <w:contextualSpacing/>
        <w:jc w:val="both"/>
        <w:rPr>
          <w:rFonts w:ascii="Arial" w:hAnsi="Arial" w:cs="Arial"/>
          <w:sz w:val="20"/>
          <w:szCs w:val="20"/>
        </w:rPr>
      </w:pPr>
      <w:r w:rsidRPr="00A67B27">
        <w:rPr>
          <w:rFonts w:ascii="Arial" w:hAnsi="Arial" w:cs="Arial"/>
          <w:sz w:val="20"/>
          <w:szCs w:val="20"/>
        </w:rPr>
        <w:t>Darbinieka un darba devēja pienākumi un tiesības.</w:t>
      </w:r>
    </w:p>
    <w:p w14:paraId="3594BA46" w14:textId="77777777" w:rsidR="00A67B27" w:rsidRPr="00A67B27" w:rsidRDefault="00A67B27" w:rsidP="00A67B27">
      <w:pPr>
        <w:jc w:val="both"/>
        <w:rPr>
          <w:rFonts w:ascii="Arial" w:hAnsi="Arial" w:cs="Arial"/>
          <w:sz w:val="20"/>
          <w:szCs w:val="20"/>
        </w:rPr>
      </w:pPr>
    </w:p>
    <w:p w14:paraId="25BAD531" w14:textId="77777777" w:rsidR="00A67B27" w:rsidRPr="00A67B27" w:rsidRDefault="00A67B27" w:rsidP="00A67B27">
      <w:pPr>
        <w:jc w:val="both"/>
        <w:rPr>
          <w:rFonts w:ascii="Arial" w:hAnsi="Arial" w:cs="Arial"/>
          <w:sz w:val="20"/>
          <w:szCs w:val="20"/>
        </w:rPr>
      </w:pPr>
      <w:r w:rsidRPr="00A67B27">
        <w:rPr>
          <w:rFonts w:ascii="Arial" w:hAnsi="Arial" w:cs="Arial"/>
          <w:sz w:val="20"/>
          <w:szCs w:val="20"/>
        </w:rPr>
        <w:t>Uzņēmumā ir noslēgts Kolektīvais līgums, izstrādāti Amatu apraksti un Iekšējās kārtības noteikumi. Ar tiem darbinieks var iepazīties stājoties darbā.</w:t>
      </w:r>
    </w:p>
    <w:p w14:paraId="0B917067" w14:textId="77777777" w:rsidR="00A67B27" w:rsidRPr="00A67B27" w:rsidRDefault="00A67B27" w:rsidP="00A67B27">
      <w:pPr>
        <w:jc w:val="both"/>
        <w:rPr>
          <w:rFonts w:ascii="Arial" w:hAnsi="Arial" w:cs="Arial"/>
          <w:sz w:val="20"/>
          <w:szCs w:val="20"/>
        </w:rPr>
      </w:pPr>
    </w:p>
    <w:p w14:paraId="6591CA5A" w14:textId="77777777" w:rsidR="00A67B27" w:rsidRPr="00A67B27" w:rsidRDefault="00A67B27" w:rsidP="00A67B27">
      <w:pPr>
        <w:jc w:val="both"/>
        <w:rPr>
          <w:rFonts w:ascii="Arial" w:hAnsi="Arial" w:cs="Arial"/>
          <w:sz w:val="20"/>
          <w:szCs w:val="20"/>
        </w:rPr>
      </w:pPr>
      <w:r w:rsidRPr="00A67B27">
        <w:rPr>
          <w:rFonts w:ascii="Arial" w:hAnsi="Arial" w:cs="Arial"/>
          <w:sz w:val="20"/>
          <w:szCs w:val="20"/>
        </w:rPr>
        <w:t>Mēnesi iepriekš darbinieki tiek brīdināti par izmaiņām darba līgumā un/vai darba samaksā, par ko tiek slēgta abpusēji parakstīta papildvienošanās pie noslēgtā darba līguma.</w:t>
      </w:r>
    </w:p>
    <w:p w14:paraId="250CBB9C" w14:textId="77777777" w:rsidR="00A67B27" w:rsidRPr="00A67B27" w:rsidRDefault="00A67B27" w:rsidP="00A67B27">
      <w:pPr>
        <w:jc w:val="both"/>
        <w:rPr>
          <w:rFonts w:ascii="Arial" w:hAnsi="Arial" w:cs="Arial"/>
          <w:sz w:val="20"/>
          <w:szCs w:val="20"/>
        </w:rPr>
      </w:pPr>
    </w:p>
    <w:p w14:paraId="74860C23" w14:textId="35F53272" w:rsidR="00F13ED2" w:rsidRPr="00A67B27" w:rsidRDefault="00A67B27" w:rsidP="00A67B27">
      <w:pPr>
        <w:spacing w:before="120" w:after="120"/>
        <w:ind w:firstLine="284"/>
        <w:jc w:val="both"/>
        <w:rPr>
          <w:rFonts w:ascii="Arial" w:hAnsi="Arial" w:cs="Arial"/>
          <w:sz w:val="20"/>
          <w:szCs w:val="20"/>
        </w:rPr>
      </w:pPr>
      <w:r w:rsidRPr="00A67B27">
        <w:rPr>
          <w:rFonts w:ascii="Arial" w:hAnsi="Arial" w:cs="Arial"/>
          <w:sz w:val="20"/>
          <w:szCs w:val="20"/>
        </w:rPr>
        <w:t>Par mēnesī aprēķinātās darba samaksas veidošanos darbinieks saņem informāciju Algas programmā veidotājā “algu lapiņā”. Summas sad</w:t>
      </w:r>
      <w:r w:rsidR="00B656B5">
        <w:rPr>
          <w:rFonts w:ascii="Arial" w:hAnsi="Arial" w:cs="Arial"/>
          <w:sz w:val="20"/>
          <w:szCs w:val="20"/>
        </w:rPr>
        <w:t>a</w:t>
      </w:r>
      <w:r w:rsidRPr="00A67B27">
        <w:rPr>
          <w:rFonts w:ascii="Arial" w:hAnsi="Arial" w:cs="Arial"/>
          <w:sz w:val="20"/>
          <w:szCs w:val="20"/>
        </w:rPr>
        <w:t>lītas šifros. Neskaidrību gadījumā darbinieks griežas pie algu grāmatveža</w:t>
      </w:r>
    </w:p>
    <w:sectPr w:rsidR="00F13ED2" w:rsidRPr="00A67B27" w:rsidSect="00C11638">
      <w:pgSz w:w="11906" w:h="16838" w:code="9"/>
      <w:pgMar w:top="1134"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2A7"/>
    <w:multiLevelType w:val="hybridMultilevel"/>
    <w:tmpl w:val="D7A455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AF2D32"/>
    <w:multiLevelType w:val="hybridMultilevel"/>
    <w:tmpl w:val="2104E1B8"/>
    <w:lvl w:ilvl="0" w:tplc="04260001">
      <w:start w:val="1"/>
      <w:numFmt w:val="bullet"/>
      <w:lvlText w:val=""/>
      <w:lvlJc w:val="left"/>
      <w:pPr>
        <w:ind w:left="1133" w:hanging="360"/>
      </w:pPr>
      <w:rPr>
        <w:rFonts w:ascii="Symbol" w:hAnsi="Symbol" w:hint="default"/>
      </w:rPr>
    </w:lvl>
    <w:lvl w:ilvl="1" w:tplc="04260003" w:tentative="1">
      <w:start w:val="1"/>
      <w:numFmt w:val="bullet"/>
      <w:lvlText w:val="o"/>
      <w:lvlJc w:val="left"/>
      <w:pPr>
        <w:ind w:left="1853" w:hanging="360"/>
      </w:pPr>
      <w:rPr>
        <w:rFonts w:ascii="Courier New" w:hAnsi="Courier New" w:cs="Courier New" w:hint="default"/>
      </w:rPr>
    </w:lvl>
    <w:lvl w:ilvl="2" w:tplc="04260005" w:tentative="1">
      <w:start w:val="1"/>
      <w:numFmt w:val="bullet"/>
      <w:lvlText w:val=""/>
      <w:lvlJc w:val="left"/>
      <w:pPr>
        <w:ind w:left="2573" w:hanging="360"/>
      </w:pPr>
      <w:rPr>
        <w:rFonts w:ascii="Wingdings" w:hAnsi="Wingdings" w:hint="default"/>
      </w:rPr>
    </w:lvl>
    <w:lvl w:ilvl="3" w:tplc="04260001" w:tentative="1">
      <w:start w:val="1"/>
      <w:numFmt w:val="bullet"/>
      <w:lvlText w:val=""/>
      <w:lvlJc w:val="left"/>
      <w:pPr>
        <w:ind w:left="3293" w:hanging="360"/>
      </w:pPr>
      <w:rPr>
        <w:rFonts w:ascii="Symbol" w:hAnsi="Symbol" w:hint="default"/>
      </w:rPr>
    </w:lvl>
    <w:lvl w:ilvl="4" w:tplc="04260003" w:tentative="1">
      <w:start w:val="1"/>
      <w:numFmt w:val="bullet"/>
      <w:lvlText w:val="o"/>
      <w:lvlJc w:val="left"/>
      <w:pPr>
        <w:ind w:left="4013" w:hanging="360"/>
      </w:pPr>
      <w:rPr>
        <w:rFonts w:ascii="Courier New" w:hAnsi="Courier New" w:cs="Courier New" w:hint="default"/>
      </w:rPr>
    </w:lvl>
    <w:lvl w:ilvl="5" w:tplc="04260005" w:tentative="1">
      <w:start w:val="1"/>
      <w:numFmt w:val="bullet"/>
      <w:lvlText w:val=""/>
      <w:lvlJc w:val="left"/>
      <w:pPr>
        <w:ind w:left="4733" w:hanging="360"/>
      </w:pPr>
      <w:rPr>
        <w:rFonts w:ascii="Wingdings" w:hAnsi="Wingdings" w:hint="default"/>
      </w:rPr>
    </w:lvl>
    <w:lvl w:ilvl="6" w:tplc="04260001" w:tentative="1">
      <w:start w:val="1"/>
      <w:numFmt w:val="bullet"/>
      <w:lvlText w:val=""/>
      <w:lvlJc w:val="left"/>
      <w:pPr>
        <w:ind w:left="5453" w:hanging="360"/>
      </w:pPr>
      <w:rPr>
        <w:rFonts w:ascii="Symbol" w:hAnsi="Symbol" w:hint="default"/>
      </w:rPr>
    </w:lvl>
    <w:lvl w:ilvl="7" w:tplc="04260003" w:tentative="1">
      <w:start w:val="1"/>
      <w:numFmt w:val="bullet"/>
      <w:lvlText w:val="o"/>
      <w:lvlJc w:val="left"/>
      <w:pPr>
        <w:ind w:left="6173" w:hanging="360"/>
      </w:pPr>
      <w:rPr>
        <w:rFonts w:ascii="Courier New" w:hAnsi="Courier New" w:cs="Courier New" w:hint="default"/>
      </w:rPr>
    </w:lvl>
    <w:lvl w:ilvl="8" w:tplc="04260005" w:tentative="1">
      <w:start w:val="1"/>
      <w:numFmt w:val="bullet"/>
      <w:lvlText w:val=""/>
      <w:lvlJc w:val="left"/>
      <w:pPr>
        <w:ind w:left="6893" w:hanging="360"/>
      </w:pPr>
      <w:rPr>
        <w:rFonts w:ascii="Wingdings" w:hAnsi="Wingdings" w:hint="default"/>
      </w:rPr>
    </w:lvl>
  </w:abstractNum>
  <w:abstractNum w:abstractNumId="2" w15:restartNumberingAfterBreak="0">
    <w:nsid w:val="29CB0CEF"/>
    <w:multiLevelType w:val="hybridMultilevel"/>
    <w:tmpl w:val="CF708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43322D"/>
    <w:multiLevelType w:val="hybridMultilevel"/>
    <w:tmpl w:val="6BDAF7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9434366"/>
    <w:multiLevelType w:val="hybridMultilevel"/>
    <w:tmpl w:val="4050ACB8"/>
    <w:lvl w:ilvl="0" w:tplc="4CE69032">
      <w:start w:val="1"/>
      <w:numFmt w:val="decimal"/>
      <w:lvlText w:val="%1."/>
      <w:lvlJc w:val="left"/>
      <w:pPr>
        <w:ind w:left="-491" w:hanging="360"/>
      </w:pPr>
      <w:rPr>
        <w:rFonts w:hint="default"/>
      </w:rPr>
    </w:lvl>
    <w:lvl w:ilvl="1" w:tplc="04260019" w:tentative="1">
      <w:start w:val="1"/>
      <w:numFmt w:val="lowerLetter"/>
      <w:lvlText w:val="%2."/>
      <w:lvlJc w:val="left"/>
      <w:pPr>
        <w:ind w:left="229" w:hanging="360"/>
      </w:pPr>
    </w:lvl>
    <w:lvl w:ilvl="2" w:tplc="0426001B" w:tentative="1">
      <w:start w:val="1"/>
      <w:numFmt w:val="lowerRoman"/>
      <w:lvlText w:val="%3."/>
      <w:lvlJc w:val="right"/>
      <w:pPr>
        <w:ind w:left="949" w:hanging="180"/>
      </w:pPr>
    </w:lvl>
    <w:lvl w:ilvl="3" w:tplc="0426000F" w:tentative="1">
      <w:start w:val="1"/>
      <w:numFmt w:val="decimal"/>
      <w:lvlText w:val="%4."/>
      <w:lvlJc w:val="left"/>
      <w:pPr>
        <w:ind w:left="1669" w:hanging="360"/>
      </w:pPr>
    </w:lvl>
    <w:lvl w:ilvl="4" w:tplc="04260019" w:tentative="1">
      <w:start w:val="1"/>
      <w:numFmt w:val="lowerLetter"/>
      <w:lvlText w:val="%5."/>
      <w:lvlJc w:val="left"/>
      <w:pPr>
        <w:ind w:left="2389" w:hanging="360"/>
      </w:pPr>
    </w:lvl>
    <w:lvl w:ilvl="5" w:tplc="0426001B" w:tentative="1">
      <w:start w:val="1"/>
      <w:numFmt w:val="lowerRoman"/>
      <w:lvlText w:val="%6."/>
      <w:lvlJc w:val="right"/>
      <w:pPr>
        <w:ind w:left="3109" w:hanging="180"/>
      </w:pPr>
    </w:lvl>
    <w:lvl w:ilvl="6" w:tplc="0426000F" w:tentative="1">
      <w:start w:val="1"/>
      <w:numFmt w:val="decimal"/>
      <w:lvlText w:val="%7."/>
      <w:lvlJc w:val="left"/>
      <w:pPr>
        <w:ind w:left="3829" w:hanging="360"/>
      </w:pPr>
    </w:lvl>
    <w:lvl w:ilvl="7" w:tplc="04260019" w:tentative="1">
      <w:start w:val="1"/>
      <w:numFmt w:val="lowerLetter"/>
      <w:lvlText w:val="%8."/>
      <w:lvlJc w:val="left"/>
      <w:pPr>
        <w:ind w:left="4549" w:hanging="360"/>
      </w:pPr>
    </w:lvl>
    <w:lvl w:ilvl="8" w:tplc="0426001B" w:tentative="1">
      <w:start w:val="1"/>
      <w:numFmt w:val="lowerRoman"/>
      <w:lvlText w:val="%9."/>
      <w:lvlJc w:val="right"/>
      <w:pPr>
        <w:ind w:left="5269" w:hanging="180"/>
      </w:pPr>
    </w:lvl>
  </w:abstractNum>
  <w:num w:numId="1" w16cid:durableId="32921289">
    <w:abstractNumId w:val="1"/>
  </w:num>
  <w:num w:numId="2" w16cid:durableId="2133473346">
    <w:abstractNumId w:val="3"/>
  </w:num>
  <w:num w:numId="3" w16cid:durableId="616133639">
    <w:abstractNumId w:val="0"/>
  </w:num>
  <w:num w:numId="4" w16cid:durableId="1018239755">
    <w:abstractNumId w:val="4"/>
  </w:num>
  <w:num w:numId="5" w16cid:durableId="822232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638"/>
    <w:rsid w:val="0034442F"/>
    <w:rsid w:val="00A67B27"/>
    <w:rsid w:val="00B656B5"/>
    <w:rsid w:val="00C11638"/>
    <w:rsid w:val="00F13ED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B6BE"/>
  <w15:docId w15:val="{4A535AA5-AEED-40FD-B87D-2BE615C5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63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C11638"/>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C11638"/>
    <w:rPr>
      <w:rFonts w:ascii="Times New Roman" w:eastAsia="Times New Roman" w:hAnsi="Times New Roman" w:cs="Times New Roman"/>
      <w:sz w:val="24"/>
      <w:szCs w:val="24"/>
      <w:lang w:eastAsia="lv-LV"/>
    </w:rPr>
  </w:style>
  <w:style w:type="paragraph" w:styleId="BalloonText">
    <w:name w:val="Balloon Text"/>
    <w:basedOn w:val="Normal"/>
    <w:link w:val="BalloonTextChar"/>
    <w:semiHidden/>
    <w:rsid w:val="00A67B27"/>
    <w:rPr>
      <w:rFonts w:ascii="Tahoma" w:hAnsi="Tahoma" w:cs="Tahoma"/>
      <w:sz w:val="16"/>
      <w:szCs w:val="16"/>
    </w:rPr>
  </w:style>
  <w:style w:type="character" w:customStyle="1" w:styleId="BalloonTextChar">
    <w:name w:val="Balloon Text Char"/>
    <w:basedOn w:val="DefaultParagraphFont"/>
    <w:link w:val="BalloonText"/>
    <w:semiHidden/>
    <w:rsid w:val="00A67B27"/>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Agijevica</dc:creator>
  <cp:lastModifiedBy>Valentina Agijevica</cp:lastModifiedBy>
  <cp:revision>3</cp:revision>
  <dcterms:created xsi:type="dcterms:W3CDTF">2020-03-02T15:23:00Z</dcterms:created>
  <dcterms:modified xsi:type="dcterms:W3CDTF">2022-06-14T12:04:00Z</dcterms:modified>
</cp:coreProperties>
</file>